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center"/>
        <w:rPr>
          <w:rFonts w:ascii="Times New Roman" w:eastAsia="Batang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5939155</wp:posOffset>
            </wp:positionH>
            <wp:positionV relativeFrom="paragraph">
              <wp:posOffset>93357</wp:posOffset>
            </wp:positionV>
            <wp:extent cx="561975" cy="676275"/>
            <wp:effectExtent l="0" t="0" r="9525" b="9525"/>
            <wp:wrapNone/>
            <wp:docPr id="1" name="Рисунок 1" descr="spb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b2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25400</wp:posOffset>
            </wp:positionH>
            <wp:positionV relativeFrom="paragraph">
              <wp:posOffset>-13335</wp:posOffset>
            </wp:positionV>
            <wp:extent cx="962025" cy="914400"/>
            <wp:effectExtent l="0" t="0" r="9525" b="0"/>
            <wp:wrapNone/>
            <wp:docPr id="2" name="Рисунок 2" descr="Лого_для_больших-формат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ого_для_больших-форматов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678" t="5310" r="8871" b="9734"/>
                    <a:stretch/>
                  </pic:blipFill>
                  <pic:spPr bwMode="auto">
                    <a:xfrm>
                      <a:off x="0" y="0"/>
                      <a:ext cx="9620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pPr>
        <w:spacing w:after="0"/>
        <w:jc w:val="center"/>
        <w:rPr>
          <w:rFonts w:ascii="Times New Roman" w:eastAsia="Batang" w:hAnsi="Times New Roman" w:cs="Times New Roman"/>
          <w:bCs/>
          <w:sz w:val="28"/>
          <w:szCs w:val="28"/>
        </w:rPr>
      </w:pPr>
      <w:r>
        <w:rPr>
          <w:rFonts w:ascii="Times New Roman" w:eastAsia="Batang" w:hAnsi="Times New Roman" w:cs="Times New Roman"/>
          <w:b/>
          <w:bCs/>
          <w:sz w:val="28"/>
          <w:szCs w:val="28"/>
        </w:rPr>
        <w:t>Комитет по государственному заказу Санкт-Петербурга</w:t>
      </w:r>
      <w:r>
        <w:rPr>
          <w:rFonts w:ascii="Times New Roman" w:eastAsia="Batang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Batang" w:hAnsi="Times New Roman" w:cs="Times New Roman"/>
          <w:bCs/>
          <w:sz w:val="28"/>
          <w:szCs w:val="28"/>
        </w:rPr>
        <w:br/>
      </w:r>
    </w:p>
    <w:p>
      <w:pPr>
        <w:spacing w:after="0"/>
        <w:ind w:right="991"/>
        <w:rPr>
          <w:rFonts w:ascii="Times New Roman" w:eastAsia="Batang" w:hAnsi="Times New Roman" w:cs="Times New Roman"/>
          <w:b/>
          <w:bCs/>
          <w:sz w:val="24"/>
          <w:szCs w:val="24"/>
        </w:rPr>
      </w:pPr>
    </w:p>
    <w:p>
      <w:pPr>
        <w:spacing w:after="0"/>
        <w:ind w:right="991"/>
        <w:jc w:val="right"/>
        <w:rPr>
          <w:rFonts w:ascii="Times New Roman" w:eastAsia="Batang" w:hAnsi="Times New Roman" w:cs="Times New Roman"/>
          <w:b/>
          <w:bCs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4572445</wp:posOffset>
            </wp:positionH>
            <wp:positionV relativeFrom="paragraph">
              <wp:posOffset>168795</wp:posOffset>
            </wp:positionV>
            <wp:extent cx="1170445" cy="187732"/>
            <wp:effectExtent l="0" t="0" r="0" b="3175"/>
            <wp:wrapNone/>
            <wp:docPr id="4" name="Рисунок 4" descr="C:\Users\user\AppData\Local\Microsoft\Windows\INetCache\Content.Word\Fr_logo_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 descr="C:\Users\user\AppData\Local\Microsoft\Windows\INetCache\Content.Word\Fr_logo_w.png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445" cy="187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after="0"/>
        <w:ind w:right="991" w:firstLine="127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Batang" w:hAnsi="Times New Roman" w:cs="Times New Roman"/>
          <w:b/>
          <w:bCs/>
          <w:sz w:val="24"/>
          <w:szCs w:val="24"/>
        </w:rPr>
        <w:t>При поддержке:</w:t>
      </w:r>
      <w: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>
      <w:pPr>
        <w:spacing w:after="0"/>
        <w:ind w:right="991" w:firstLine="1276"/>
        <w:rPr>
          <w:b/>
          <w:szCs w:val="24"/>
        </w:rPr>
      </w:pPr>
      <w:r>
        <w:rPr>
          <w:b/>
          <w:noProof/>
          <w:lang w:eastAsia="ru-RU"/>
        </w:rPr>
        <w:drawing>
          <wp:inline distT="0" distB="0" distL="0" distR="0">
            <wp:extent cx="1522011" cy="740979"/>
            <wp:effectExtent l="0" t="0" r="254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Снимок экрана 2020-06-26 в 12.49.08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9683" cy="759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Cs w:val="24"/>
        </w:rPr>
        <w:t xml:space="preserve"> </w:t>
      </w:r>
    </w:p>
    <w:p>
      <w:pPr>
        <w:spacing w:after="0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ПРОГРАММА ВЕБИНАРА</w:t>
      </w:r>
    </w:p>
    <w:p>
      <w:pPr>
        <w:spacing w:after="0"/>
        <w:ind w:left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ТРЕБОВАНИЯ К УЧАСТНИКАМ ЗАКУПОК </w:t>
      </w:r>
      <w:r>
        <w:rPr>
          <w:rFonts w:ascii="Times New Roman" w:hAnsi="Times New Roman" w:cs="Times New Roman"/>
          <w:b/>
          <w:caps/>
          <w:sz w:val="24"/>
          <w:szCs w:val="24"/>
        </w:rPr>
        <w:br/>
        <w:t>ПО НОВЫМ ПРАВИЛАМ ЗАКОНА № 44-фз»</w:t>
      </w:r>
    </w:p>
    <w:p>
      <w:pPr>
        <w:spacing w:after="0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27 января 2022 11:00 (МСК)</w:t>
      </w:r>
    </w:p>
    <w:p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/>
        <w:ind w:left="14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Регистрации доступна по ссылке: </w:t>
      </w:r>
      <w:hyperlink r:id="rId11" w:history="1">
        <w:r>
          <w:rPr>
            <w:rStyle w:val="a7"/>
            <w:rFonts w:ascii="Times New Roman" w:hAnsi="Times New Roman" w:cs="Times New Roman"/>
            <w:b/>
            <w:sz w:val="24"/>
            <w:szCs w:val="24"/>
          </w:rPr>
          <w:t>https://events.webinar.ru/2199741/10068161</w:t>
        </w:r>
      </w:hyperlink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1413"/>
        <w:gridCol w:w="5528"/>
        <w:gridCol w:w="3686"/>
      </w:tblGrid>
      <w:tr>
        <w:trPr>
          <w:trHeight w:val="20"/>
          <w:jc w:val="center"/>
        </w:trPr>
        <w:tc>
          <w:tcPr>
            <w:tcW w:w="1413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vAlign w:val="center"/>
          </w:tcPr>
          <w:p>
            <w:pPr>
              <w:pStyle w:val="Body1"/>
              <w:jc w:val="center"/>
              <w:rPr>
                <w:b/>
                <w:color w:val="auto"/>
                <w:szCs w:val="24"/>
              </w:rPr>
            </w:pPr>
            <w:r>
              <w:rPr>
                <w:b/>
                <w:color w:val="auto"/>
                <w:szCs w:val="24"/>
              </w:rPr>
              <w:t>Время</w:t>
            </w:r>
          </w:p>
        </w:tc>
        <w:tc>
          <w:tcPr>
            <w:tcW w:w="5528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vAlign w:val="center"/>
          </w:tcPr>
          <w:p>
            <w:pPr>
              <w:pStyle w:val="Body1"/>
              <w:jc w:val="center"/>
              <w:outlineLvl w:val="9"/>
              <w:rPr>
                <w:b/>
                <w:color w:val="auto"/>
                <w:szCs w:val="24"/>
              </w:rPr>
            </w:pPr>
            <w:r>
              <w:rPr>
                <w:b/>
                <w:color w:val="auto"/>
                <w:szCs w:val="24"/>
              </w:rPr>
              <w:t>Тема выступления</w:t>
            </w:r>
          </w:p>
        </w:tc>
        <w:tc>
          <w:tcPr>
            <w:tcW w:w="3686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vAlign w:val="center"/>
          </w:tcPr>
          <w:p>
            <w:pPr>
              <w:pStyle w:val="Body1"/>
              <w:jc w:val="center"/>
              <w:rPr>
                <w:b/>
                <w:color w:val="auto"/>
                <w:szCs w:val="24"/>
              </w:rPr>
            </w:pPr>
            <w:r>
              <w:rPr>
                <w:b/>
                <w:color w:val="auto"/>
                <w:szCs w:val="24"/>
              </w:rPr>
              <w:t>Спикер</w:t>
            </w:r>
          </w:p>
        </w:tc>
      </w:tr>
      <w:tr>
        <w:trPr>
          <w:trHeight w:val="1170"/>
          <w:jc w:val="center"/>
        </w:trPr>
        <w:tc>
          <w:tcPr>
            <w:tcW w:w="1413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vAlign w:val="center"/>
          </w:tcPr>
          <w:p>
            <w:pPr>
              <w:pStyle w:val="Body1"/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11:00 – 11:05</w:t>
            </w:r>
          </w:p>
          <w:p>
            <w:pPr>
              <w:pStyle w:val="Body1"/>
              <w:jc w:val="center"/>
              <w:rPr>
                <w:color w:val="auto"/>
                <w:szCs w:val="24"/>
              </w:rPr>
            </w:pPr>
          </w:p>
          <w:p>
            <w:pPr>
              <w:pStyle w:val="Body1"/>
              <w:jc w:val="center"/>
              <w:rPr>
                <w:color w:val="auto"/>
                <w:szCs w:val="24"/>
              </w:rPr>
            </w:pPr>
          </w:p>
          <w:p>
            <w:pPr>
              <w:pStyle w:val="Body1"/>
              <w:jc w:val="center"/>
              <w:rPr>
                <w:color w:val="auto"/>
                <w:szCs w:val="24"/>
              </w:rPr>
            </w:pPr>
          </w:p>
          <w:p>
            <w:pPr>
              <w:pStyle w:val="Body1"/>
              <w:jc w:val="center"/>
              <w:rPr>
                <w:color w:val="auto"/>
                <w:szCs w:val="24"/>
              </w:rPr>
            </w:pPr>
          </w:p>
          <w:p>
            <w:pPr>
              <w:pStyle w:val="Body1"/>
              <w:jc w:val="center"/>
              <w:rPr>
                <w:color w:val="auto"/>
                <w:szCs w:val="24"/>
              </w:rPr>
            </w:pPr>
          </w:p>
          <w:p>
            <w:pPr>
              <w:pStyle w:val="Body1"/>
              <w:jc w:val="center"/>
              <w:rPr>
                <w:color w:val="auto"/>
                <w:szCs w:val="24"/>
              </w:rPr>
            </w:pPr>
          </w:p>
          <w:p>
            <w:pPr>
              <w:pStyle w:val="Body1"/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11:05 – 11:35</w:t>
            </w:r>
          </w:p>
          <w:p>
            <w:pPr>
              <w:pStyle w:val="Body1"/>
              <w:jc w:val="center"/>
              <w:rPr>
                <w:color w:val="auto"/>
                <w:szCs w:val="24"/>
              </w:rPr>
            </w:pPr>
          </w:p>
        </w:tc>
        <w:tc>
          <w:tcPr>
            <w:tcW w:w="5528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vAlign w:val="center"/>
          </w:tcPr>
          <w:p>
            <w:pPr>
              <w:pStyle w:val="Body1"/>
              <w:ind w:left="141"/>
              <w:outlineLvl w:val="9"/>
              <w:rPr>
                <w:rFonts w:eastAsia="Times New Roman"/>
                <w:color w:val="auto"/>
                <w:szCs w:val="24"/>
              </w:rPr>
            </w:pPr>
            <w:r>
              <w:rPr>
                <w:rFonts w:eastAsia="Times New Roman"/>
                <w:color w:val="auto"/>
                <w:szCs w:val="24"/>
              </w:rPr>
              <w:t>Вступительное слово</w:t>
            </w:r>
          </w:p>
          <w:p>
            <w:pPr>
              <w:pStyle w:val="Body1"/>
              <w:ind w:left="141"/>
              <w:outlineLvl w:val="9"/>
              <w:rPr>
                <w:rFonts w:eastAsia="Times New Roman"/>
                <w:color w:val="auto"/>
                <w:szCs w:val="24"/>
              </w:rPr>
            </w:pPr>
          </w:p>
          <w:p>
            <w:pPr>
              <w:pStyle w:val="Body1"/>
              <w:ind w:left="141"/>
              <w:outlineLvl w:val="9"/>
              <w:rPr>
                <w:rFonts w:eastAsia="Times New Roman"/>
                <w:color w:val="auto"/>
                <w:szCs w:val="24"/>
              </w:rPr>
            </w:pPr>
          </w:p>
          <w:p>
            <w:pPr>
              <w:pStyle w:val="Body1"/>
              <w:ind w:left="141"/>
              <w:outlineLvl w:val="9"/>
              <w:rPr>
                <w:rFonts w:eastAsia="Times New Roman"/>
                <w:color w:val="auto"/>
                <w:szCs w:val="24"/>
              </w:rPr>
            </w:pPr>
          </w:p>
          <w:p>
            <w:pPr>
              <w:pStyle w:val="Body1"/>
              <w:ind w:left="141"/>
              <w:outlineLvl w:val="9"/>
              <w:rPr>
                <w:rFonts w:eastAsia="Times New Roman"/>
                <w:color w:val="auto"/>
                <w:szCs w:val="24"/>
              </w:rPr>
            </w:pPr>
          </w:p>
          <w:p>
            <w:pPr>
              <w:pStyle w:val="Body1"/>
              <w:ind w:left="141"/>
              <w:outlineLvl w:val="9"/>
              <w:rPr>
                <w:rFonts w:eastAsia="Times New Roman"/>
                <w:color w:val="auto"/>
                <w:szCs w:val="24"/>
              </w:rPr>
            </w:pPr>
          </w:p>
          <w:p>
            <w:pPr>
              <w:pStyle w:val="Body1"/>
              <w:ind w:left="141"/>
              <w:outlineLvl w:val="9"/>
              <w:rPr>
                <w:rFonts w:eastAsia="Times New Roman"/>
                <w:color w:val="auto"/>
                <w:szCs w:val="24"/>
              </w:rPr>
            </w:pPr>
          </w:p>
          <w:p>
            <w:pPr>
              <w:pStyle w:val="Body1"/>
              <w:ind w:left="141"/>
              <w:outlineLvl w:val="9"/>
              <w:rPr>
                <w:rFonts w:eastAsia="Times New Roman"/>
                <w:color w:val="auto"/>
                <w:szCs w:val="24"/>
              </w:rPr>
            </w:pPr>
            <w:r>
              <w:rPr>
                <w:rFonts w:eastAsia="Times New Roman"/>
                <w:color w:val="auto"/>
                <w:szCs w:val="24"/>
              </w:rPr>
              <w:t>Меры финансовой поддержки субъектов МСП</w:t>
            </w:r>
          </w:p>
          <w:p>
            <w:pPr>
              <w:pStyle w:val="Body1"/>
              <w:ind w:left="141"/>
              <w:outlineLvl w:val="9"/>
              <w:rPr>
                <w:rFonts w:eastAsia="Times New Roman"/>
                <w:color w:val="auto"/>
                <w:szCs w:val="24"/>
              </w:rPr>
            </w:pPr>
          </w:p>
        </w:tc>
        <w:tc>
          <w:tcPr>
            <w:tcW w:w="3686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vAlign w:val="center"/>
          </w:tcPr>
          <w:p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ЖЕМЯКИН</w:t>
            </w:r>
          </w:p>
          <w:p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Александр Викторович</w:t>
            </w:r>
          </w:p>
          <w:p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 Комитета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по государственному заказу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Санкт-Петербурга</w:t>
            </w:r>
          </w:p>
          <w:p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ПИТКЯНЕН</w:t>
            </w:r>
          </w:p>
          <w:p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Александра Федоровна</w:t>
            </w:r>
          </w:p>
          <w:p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исполнительный директор некоммерческой организации «Фонд содействия кредитованию малого и среднего бизнеса,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микрокредитная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компания»</w:t>
            </w:r>
          </w:p>
        </w:tc>
      </w:tr>
      <w:tr>
        <w:trPr>
          <w:trHeight w:val="1170"/>
          <w:jc w:val="center"/>
        </w:trPr>
        <w:tc>
          <w:tcPr>
            <w:tcW w:w="1413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vAlign w:val="center"/>
          </w:tcPr>
          <w:p>
            <w:pPr>
              <w:pStyle w:val="Body1"/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11:35 – 12:35</w:t>
            </w:r>
          </w:p>
        </w:tc>
        <w:tc>
          <w:tcPr>
            <w:tcW w:w="5528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vAlign w:val="center"/>
          </w:tcPr>
          <w:p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/>
              <w:ind w:left="136" w:right="142"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 xml:space="preserve">Изменения требований к участникам закупки. Стоимостная </w:t>
            </w:r>
            <w:proofErr w:type="spellStart"/>
            <w:r>
              <w:rPr>
                <w:iCs/>
                <w:color w:val="000000" w:themeColor="text1"/>
                <w:sz w:val="24"/>
                <w:szCs w:val="24"/>
              </w:rPr>
              <w:t>предквалификация</w:t>
            </w:r>
            <w:proofErr w:type="spellEnd"/>
            <w:r>
              <w:rPr>
                <w:iCs/>
                <w:color w:val="000000" w:themeColor="text1"/>
                <w:sz w:val="24"/>
                <w:szCs w:val="24"/>
              </w:rPr>
              <w:t xml:space="preserve"> для участников закупок с НМЦК от 20 млн рублей.</w:t>
            </w:r>
          </w:p>
          <w:p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/>
              <w:ind w:left="136" w:right="142"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Новое </w:t>
            </w:r>
            <w:r>
              <w:rPr>
                <w:iCs/>
                <w:color w:val="000000" w:themeColor="text1"/>
                <w:sz w:val="24"/>
                <w:szCs w:val="24"/>
              </w:rPr>
              <w:t>в обеспечении заявок и обеспечении исполнения контракта. Переход на независимые гарантии.</w:t>
            </w:r>
          </w:p>
          <w:p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/>
              <w:ind w:left="136" w:right="142"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Ключевые изменения в порядке проведения электронного аукциона, конкурса и запроса котировок.</w:t>
            </w:r>
          </w:p>
          <w:p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/>
              <w:ind w:left="136" w:right="142"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Предоставление преимуществ и преференций отдельным категориям участников закупок по новым правилам.</w:t>
            </w:r>
          </w:p>
          <w:p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/>
              <w:ind w:left="136" w:right="142"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 xml:space="preserve">Новое в закупках у единственного поставщика </w:t>
            </w:r>
          </w:p>
          <w:p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/>
              <w:ind w:left="136" w:right="142"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(подрядчика, исполнителя).</w:t>
            </w:r>
          </w:p>
          <w:p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/>
              <w:ind w:left="136" w:right="142"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Что поменяется в алгоритме заключения контракта.</w:t>
            </w:r>
          </w:p>
          <w:p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/>
              <w:ind w:left="136" w:right="142"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Новый порядок одностороннего расторжения контракта.</w:t>
            </w:r>
          </w:p>
          <w:p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/>
              <w:ind w:left="136" w:right="142"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 xml:space="preserve">Электронное актирование и электронные </w:t>
            </w:r>
            <w:r>
              <w:rPr>
                <w:iCs/>
                <w:color w:val="000000" w:themeColor="text1"/>
                <w:sz w:val="24"/>
                <w:szCs w:val="24"/>
              </w:rPr>
              <w:lastRenderedPageBreak/>
              <w:t>претензии.</w:t>
            </w:r>
          </w:p>
          <w:p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/>
              <w:ind w:left="136" w:right="142"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Нововведения в порядке обжалования закупок.</w:t>
            </w:r>
          </w:p>
        </w:tc>
        <w:tc>
          <w:tcPr>
            <w:tcW w:w="3686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vAlign w:val="center"/>
          </w:tcPr>
          <w:p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ВОРОЖЦОВА</w:t>
            </w:r>
          </w:p>
          <w:p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Наталья Владимировна</w:t>
            </w:r>
          </w:p>
          <w:p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директора департамента обучения ООО «РТС-тендер»</w:t>
            </w:r>
          </w:p>
        </w:tc>
      </w:tr>
      <w:tr>
        <w:trPr>
          <w:trHeight w:val="1581"/>
          <w:jc w:val="center"/>
        </w:trPr>
        <w:tc>
          <w:tcPr>
            <w:tcW w:w="1413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vAlign w:val="center"/>
          </w:tcPr>
          <w:p>
            <w:pPr>
              <w:pStyle w:val="Body1"/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lastRenderedPageBreak/>
              <w:t>12:35 – 13:00</w:t>
            </w:r>
          </w:p>
        </w:tc>
        <w:tc>
          <w:tcPr>
            <w:tcW w:w="5528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vAlign w:val="center"/>
          </w:tcPr>
          <w:p>
            <w:pPr>
              <w:pStyle w:val="Body1"/>
              <w:ind w:left="142" w:right="141"/>
              <w:jc w:val="both"/>
              <w:rPr>
                <w:rFonts w:eastAsia="Times New Roman"/>
                <w:color w:val="auto"/>
                <w:szCs w:val="24"/>
              </w:rPr>
            </w:pPr>
            <w:r>
              <w:rPr>
                <w:color w:val="000000" w:themeColor="text1"/>
                <w:szCs w:val="24"/>
              </w:rPr>
              <w:t>Демонстрация электронного актирования в ЕИС</w:t>
            </w:r>
          </w:p>
        </w:tc>
        <w:tc>
          <w:tcPr>
            <w:tcW w:w="3686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vAlign w:val="center"/>
          </w:tcPr>
          <w:p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СПИРИН</w:t>
            </w:r>
          </w:p>
          <w:p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Андрей Андреевич </w:t>
            </w:r>
          </w:p>
          <w:p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эксперт в сфере закупок Департамента обучения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ООО «РТС-тендер»</w:t>
            </w:r>
          </w:p>
        </w:tc>
      </w:tr>
      <w:tr>
        <w:trPr>
          <w:trHeight w:val="50"/>
          <w:jc w:val="center"/>
        </w:trPr>
        <w:tc>
          <w:tcPr>
            <w:tcW w:w="1413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vAlign w:val="center"/>
          </w:tcPr>
          <w:p>
            <w:pPr>
              <w:pStyle w:val="Body1"/>
              <w:jc w:val="center"/>
              <w:rPr>
                <w:color w:val="auto"/>
                <w:szCs w:val="24"/>
              </w:rPr>
            </w:pPr>
          </w:p>
        </w:tc>
        <w:tc>
          <w:tcPr>
            <w:tcW w:w="5528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vAlign w:val="center"/>
          </w:tcPr>
          <w:p>
            <w:pPr>
              <w:spacing w:after="0"/>
              <w:ind w:left="141" w:right="14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Ответы на вопросы</w:t>
            </w:r>
          </w:p>
        </w:tc>
        <w:tc>
          <w:tcPr>
            <w:tcW w:w="3686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vAlign w:val="center"/>
          </w:tcPr>
          <w:p>
            <w:pPr>
              <w:pStyle w:val="Body1"/>
              <w:jc w:val="center"/>
              <w:rPr>
                <w:b/>
                <w:color w:val="000000" w:themeColor="text1"/>
                <w:szCs w:val="24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sectPr>
      <w:pgSz w:w="11906" w:h="16838"/>
      <w:pgMar w:top="567" w:right="567" w:bottom="56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357982"/>
    <w:multiLevelType w:val="hybridMultilevel"/>
    <w:tmpl w:val="A0BE422E"/>
    <w:lvl w:ilvl="0" w:tplc="0419000D">
      <w:start w:val="1"/>
      <w:numFmt w:val="bullet"/>
      <w:lvlText w:val=""/>
      <w:lvlJc w:val="left"/>
      <w:pPr>
        <w:ind w:left="12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">
    <w:nsid w:val="70BB77E2"/>
    <w:multiLevelType w:val="hybridMultilevel"/>
    <w:tmpl w:val="0A02720A"/>
    <w:lvl w:ilvl="0" w:tplc="8C66A922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after="0" w:line="240" w:lineRule="auto"/>
    </w:pPr>
    <w:rPr>
      <w:rFonts w:ascii="Times New Roman" w:eastAsia="Times New Roman" w:hAnsi="Times New Roman" w:cs="Times New Roman"/>
      <w:color w:val="4E4E4E"/>
      <w:sz w:val="21"/>
      <w:szCs w:val="21"/>
      <w:lang w:eastAsia="ru-RU"/>
    </w:rPr>
  </w:style>
  <w:style w:type="paragraph" w:customStyle="1" w:styleId="Body1">
    <w:name w:val="Body 1"/>
    <w:pPr>
      <w:spacing w:after="0" w:line="240" w:lineRule="auto"/>
      <w:outlineLvl w:val="0"/>
    </w:pPr>
    <w:rPr>
      <w:rFonts w:ascii="Times New Roman" w:eastAsia="Arial Unicode MS" w:hAnsi="Times New Roman" w:cs="Times New Roman"/>
      <w:color w:val="000000"/>
      <w:sz w:val="24"/>
      <w:szCs w:val="20"/>
      <w:u w:color="000000"/>
      <w:lang w:eastAsia="ru-RU"/>
    </w:rPr>
  </w:style>
  <w:style w:type="paragraph" w:styleId="a4">
    <w:name w:val="No Spacing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Pr>
      <w:strike w:val="0"/>
      <w:dstrike w:val="0"/>
      <w:color w:val="0E4D89"/>
      <w:u w:val="none"/>
      <w:effect w:val="none"/>
      <w:shd w:val="clear" w:color="auto" w:fill="auto"/>
    </w:rPr>
  </w:style>
  <w:style w:type="character" w:styleId="a8">
    <w:name w:val="Emphasis"/>
    <w:basedOn w:val="a0"/>
    <w:uiPriority w:val="20"/>
    <w:qFormat/>
    <w:rPr>
      <w:i/>
      <w:iCs/>
    </w:rPr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bformattributevalue">
    <w:name w:val="wbform_attributevalue"/>
    <w:basedOn w:val="a0"/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1">
    <w:name w:val="Обычный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after="0" w:line="240" w:lineRule="auto"/>
    </w:pPr>
    <w:rPr>
      <w:rFonts w:ascii="Times New Roman" w:eastAsia="Times New Roman" w:hAnsi="Times New Roman" w:cs="Times New Roman"/>
      <w:color w:val="4E4E4E"/>
      <w:sz w:val="21"/>
      <w:szCs w:val="21"/>
      <w:lang w:eastAsia="ru-RU"/>
    </w:rPr>
  </w:style>
  <w:style w:type="paragraph" w:customStyle="1" w:styleId="Body1">
    <w:name w:val="Body 1"/>
    <w:pPr>
      <w:spacing w:after="0" w:line="240" w:lineRule="auto"/>
      <w:outlineLvl w:val="0"/>
    </w:pPr>
    <w:rPr>
      <w:rFonts w:ascii="Times New Roman" w:eastAsia="Arial Unicode MS" w:hAnsi="Times New Roman" w:cs="Times New Roman"/>
      <w:color w:val="000000"/>
      <w:sz w:val="24"/>
      <w:szCs w:val="20"/>
      <w:u w:color="000000"/>
      <w:lang w:eastAsia="ru-RU"/>
    </w:rPr>
  </w:style>
  <w:style w:type="paragraph" w:styleId="a4">
    <w:name w:val="No Spacing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Pr>
      <w:strike w:val="0"/>
      <w:dstrike w:val="0"/>
      <w:color w:val="0E4D89"/>
      <w:u w:val="none"/>
      <w:effect w:val="none"/>
      <w:shd w:val="clear" w:color="auto" w:fill="auto"/>
    </w:rPr>
  </w:style>
  <w:style w:type="character" w:styleId="a8">
    <w:name w:val="Emphasis"/>
    <w:basedOn w:val="a0"/>
    <w:uiPriority w:val="20"/>
    <w:qFormat/>
    <w:rPr>
      <w:i/>
      <w:iCs/>
    </w:rPr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bformattributevalue">
    <w:name w:val="wbform_attributevalue"/>
    <w:basedOn w:val="a0"/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1">
    <w:name w:val="Обычный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3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59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3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36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00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8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vents.webinar.ru/2199741/10068161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CF3E2-B1D7-4950-A3E0-DD4180AEB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Яцко Анатолий Сергеевич</cp:lastModifiedBy>
  <cp:revision>2</cp:revision>
  <cp:lastPrinted>2021-11-16T09:46:00Z</cp:lastPrinted>
  <dcterms:created xsi:type="dcterms:W3CDTF">2022-01-17T06:11:00Z</dcterms:created>
  <dcterms:modified xsi:type="dcterms:W3CDTF">2022-01-17T06:11:00Z</dcterms:modified>
</cp:coreProperties>
</file>